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 xml:space="preserve">4 października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K.6220.20.2021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ździernika 2008 r.                                  o udostępnianiu informacji o środowisku i jego ochronie, udziale społeczeństwa                   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6 czerwca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 zostało wszczęte na wniosek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Bimerg Sp. z o.o. ul. Kolejowa 21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, 09-500 Gostynin  postępowanie administracyjne w sprawie wydania decyzji o środowiskowych uwarunkowaniach zgody na realizację przedsięwzięcia pn. „Istniejąca hala produkcyjno-magazynowa na działkach 4612/1, 4612/2, 4609/2, 4609/1, 4821, 4613/1, 4614/1 położonych w Gostyninie przy ul. Kolejowej 21 – legalizacja części rozbudowy zrealizowanej w latach 2012-2014”.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e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względu na skomplikowany charakter sprawy, wymagający przeanalizowania zebranych dokumentów i uzyskania dodatkowych wyjaśnień, przedłuża się termin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załatwienia sprawy do dnia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en-US" w:bidi="ar-SA"/>
        </w:rPr>
        <w:t xml:space="preserve">8 listopada </w:t>
      </w:r>
      <w:r>
        <w:rPr>
          <w:rFonts w:eastAsia="Times New Roman" w:cs="Times New Roman" w:ascii="Times New Roman" w:hAnsi="Times New Roman"/>
          <w:sz w:val="26"/>
          <w:szCs w:val="26"/>
        </w:rPr>
        <w:t>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LibreOffice/7.0.4.2$Windows_X86_64 LibreOffice_project/dcf040e67528d9187c66b2379df5ea4407429775</Application>
  <AppVersion>15.0000</AppVersion>
  <Pages>1</Pages>
  <Words>217</Words>
  <Characters>1308</Characters>
  <CharactersWithSpaces>1599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2021-10-04T13:34:36Z</cp:lastPrinted>
  <dcterms:modified xsi:type="dcterms:W3CDTF">2021-10-04T13:34:39Z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