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277A" w:rsidRPr="002C4FB9" w:rsidRDefault="0061277A" w:rsidP="0061277A">
      <w:pPr>
        <w:rPr>
          <w:rFonts w:ascii="Times New Roman" w:hAnsi="Times New Roman" w:cs="Times New Roman"/>
          <w:b/>
          <w:bCs/>
          <w:u w:val="single"/>
        </w:rPr>
      </w:pPr>
      <w:r w:rsidRPr="002C4FB9">
        <w:rPr>
          <w:rFonts w:ascii="Times New Roman" w:hAnsi="Times New Roman" w:cs="Times New Roman"/>
          <w:b/>
          <w:bCs/>
          <w:u w:val="single"/>
        </w:rPr>
        <w:t>OPIS PRZEDMIOTU ZAMÓWIENIA</w:t>
      </w:r>
    </w:p>
    <w:p w:rsidR="0061277A" w:rsidRPr="0061277A" w:rsidRDefault="0061277A" w:rsidP="0061277A">
      <w:pPr>
        <w:rPr>
          <w:rFonts w:ascii="Times New Roman" w:hAnsi="Times New Roman" w:cs="Times New Roman"/>
        </w:rPr>
      </w:pPr>
      <w:r w:rsidRPr="0061277A">
        <w:rPr>
          <w:rFonts w:ascii="Times New Roman" w:hAnsi="Times New Roman" w:cs="Times New Roman"/>
        </w:rPr>
        <w:t>Przedmiotem zamówienia jest re</w:t>
      </w:r>
      <w:r w:rsidR="005D20BE">
        <w:rPr>
          <w:rFonts w:ascii="Times New Roman" w:hAnsi="Times New Roman" w:cs="Times New Roman"/>
        </w:rPr>
        <w:t xml:space="preserve">nowacja </w:t>
      </w:r>
      <w:r w:rsidRPr="0061277A">
        <w:rPr>
          <w:rFonts w:ascii="Times New Roman" w:hAnsi="Times New Roman" w:cs="Times New Roman"/>
        </w:rPr>
        <w:t>Pomnika Walki i Zwycięstwa</w:t>
      </w:r>
      <w:r>
        <w:rPr>
          <w:rFonts w:ascii="Times New Roman" w:hAnsi="Times New Roman" w:cs="Times New Roman"/>
        </w:rPr>
        <w:t xml:space="preserve"> </w:t>
      </w:r>
      <w:r w:rsidR="00384119">
        <w:rPr>
          <w:rFonts w:ascii="Times New Roman" w:hAnsi="Times New Roman" w:cs="Times New Roman"/>
        </w:rPr>
        <w:t>usytuowanego</w:t>
      </w:r>
      <w:r w:rsidR="003841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Gostyninie przy ul. 18 Stycznia</w:t>
      </w:r>
      <w:r w:rsidRPr="0061277A">
        <w:rPr>
          <w:rFonts w:ascii="Times New Roman" w:hAnsi="Times New Roman" w:cs="Times New Roman"/>
        </w:rPr>
        <w:t>, obejmujący:</w:t>
      </w:r>
    </w:p>
    <w:p w:rsidR="0061277A" w:rsidRPr="0061277A" w:rsidRDefault="0061277A" w:rsidP="0061277A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61277A">
        <w:rPr>
          <w:rFonts w:ascii="Times New Roman" w:hAnsi="Times New Roman" w:cs="Times New Roman"/>
        </w:rPr>
        <w:t>Płaskorzeźba (ok. 33,2 m²):</w:t>
      </w:r>
    </w:p>
    <w:p w:rsidR="0061277A" w:rsidRPr="0061277A" w:rsidRDefault="0061277A" w:rsidP="0061277A">
      <w:pPr>
        <w:pStyle w:val="Akapitzlist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1277A">
        <w:rPr>
          <w:rFonts w:ascii="Times New Roman" w:hAnsi="Times New Roman" w:cs="Times New Roman"/>
        </w:rPr>
        <w:t>iaskowanie w celu usunięcia starej powłoki farby</w:t>
      </w:r>
      <w:r>
        <w:rPr>
          <w:rFonts w:ascii="Times New Roman" w:hAnsi="Times New Roman" w:cs="Times New Roman"/>
        </w:rPr>
        <w:t>,</w:t>
      </w:r>
    </w:p>
    <w:p w:rsidR="0061277A" w:rsidRDefault="0061277A" w:rsidP="0061277A">
      <w:pPr>
        <w:pStyle w:val="Akapitzlist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1277A">
        <w:rPr>
          <w:rFonts w:ascii="Times New Roman" w:hAnsi="Times New Roman" w:cs="Times New Roman"/>
        </w:rPr>
        <w:t>zupełnienie ubytków i spoin</w:t>
      </w:r>
      <w:r>
        <w:rPr>
          <w:rFonts w:ascii="Times New Roman" w:hAnsi="Times New Roman" w:cs="Times New Roman"/>
        </w:rPr>
        <w:t xml:space="preserve">, </w:t>
      </w:r>
    </w:p>
    <w:p w:rsidR="0061277A" w:rsidRDefault="0061277A" w:rsidP="0061277A">
      <w:pPr>
        <w:pStyle w:val="Akapitzlist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61277A">
        <w:rPr>
          <w:rFonts w:ascii="Times New Roman" w:hAnsi="Times New Roman" w:cs="Times New Roman"/>
        </w:rPr>
        <w:t>alowanie z efektem postarzenia (kolor do uzgodnienia)</w:t>
      </w:r>
      <w:r>
        <w:rPr>
          <w:rFonts w:ascii="Times New Roman" w:hAnsi="Times New Roman" w:cs="Times New Roman"/>
        </w:rPr>
        <w:t>.</w:t>
      </w:r>
    </w:p>
    <w:p w:rsidR="0061277A" w:rsidRPr="0061277A" w:rsidRDefault="0061277A" w:rsidP="0061277A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61277A">
        <w:rPr>
          <w:rFonts w:ascii="Times New Roman" w:hAnsi="Times New Roman" w:cs="Times New Roman"/>
        </w:rPr>
        <w:t>Postument</w:t>
      </w:r>
      <w:r>
        <w:rPr>
          <w:rFonts w:ascii="Times New Roman" w:hAnsi="Times New Roman" w:cs="Times New Roman"/>
        </w:rPr>
        <w:t xml:space="preserve"> i boki pomnika </w:t>
      </w:r>
      <w:r w:rsidRPr="0061277A">
        <w:rPr>
          <w:rFonts w:ascii="Times New Roman" w:hAnsi="Times New Roman" w:cs="Times New Roman"/>
        </w:rPr>
        <w:t xml:space="preserve"> (ok. 20 m²):</w:t>
      </w:r>
    </w:p>
    <w:p w:rsidR="0061277A" w:rsidRDefault="0061277A" w:rsidP="0061277A">
      <w:pPr>
        <w:pStyle w:val="Akapitzlist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 w:rsidRPr="0061277A">
        <w:rPr>
          <w:rFonts w:ascii="Times New Roman" w:hAnsi="Times New Roman" w:cs="Times New Roman"/>
        </w:rPr>
        <w:t>demontaż istniejącego cokołu z płytek (</w:t>
      </w:r>
      <w:r w:rsidR="00384119">
        <w:rPr>
          <w:rFonts w:ascii="Times New Roman" w:hAnsi="Times New Roman" w:cs="Times New Roman"/>
        </w:rPr>
        <w:t xml:space="preserve">wraz  ich </w:t>
      </w:r>
      <w:r w:rsidRPr="0061277A">
        <w:rPr>
          <w:rFonts w:ascii="Times New Roman" w:hAnsi="Times New Roman" w:cs="Times New Roman"/>
        </w:rPr>
        <w:t xml:space="preserve">utylizacją), </w:t>
      </w:r>
    </w:p>
    <w:p w:rsidR="0061277A" w:rsidRDefault="0061277A" w:rsidP="0061277A">
      <w:pPr>
        <w:pStyle w:val="Akapitzlist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61277A">
        <w:rPr>
          <w:rFonts w:ascii="Times New Roman" w:hAnsi="Times New Roman" w:cs="Times New Roman"/>
        </w:rPr>
        <w:t>błożenie płytami podestowymi z granitu jasnoszarego typu „Tatarek”, format</w:t>
      </w:r>
      <w:r w:rsidR="00384119">
        <w:rPr>
          <w:rFonts w:ascii="Times New Roman" w:hAnsi="Times New Roman" w:cs="Times New Roman"/>
        </w:rPr>
        <w:br/>
      </w:r>
      <w:r w:rsidRPr="0061277A">
        <w:rPr>
          <w:rFonts w:ascii="Times New Roman" w:hAnsi="Times New Roman" w:cs="Times New Roman"/>
        </w:rPr>
        <w:t>160 × 100 mm, gr</w:t>
      </w:r>
      <w:r w:rsidR="00384119">
        <w:rPr>
          <w:rFonts w:ascii="Times New Roman" w:hAnsi="Times New Roman" w:cs="Times New Roman"/>
        </w:rPr>
        <w:t xml:space="preserve">ubość </w:t>
      </w:r>
      <w:r w:rsidRPr="0061277A">
        <w:rPr>
          <w:rFonts w:ascii="Times New Roman" w:hAnsi="Times New Roman" w:cs="Times New Roman"/>
        </w:rPr>
        <w:t>6 cm</w:t>
      </w:r>
      <w:r>
        <w:rPr>
          <w:rFonts w:ascii="Times New Roman" w:hAnsi="Times New Roman" w:cs="Times New Roman"/>
        </w:rPr>
        <w:t xml:space="preserve">, </w:t>
      </w:r>
    </w:p>
    <w:p w:rsidR="0061277A" w:rsidRPr="0061277A" w:rsidRDefault="0061277A" w:rsidP="0061277A">
      <w:pPr>
        <w:pStyle w:val="Akapitzlist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 w:rsidRPr="0061277A">
        <w:rPr>
          <w:rFonts w:ascii="Times New Roman" w:hAnsi="Times New Roman" w:cs="Times New Roman"/>
        </w:rPr>
        <w:t>oinowanie oraz impregnacja płyt zabezpieczająca przed wilgocią.</w:t>
      </w:r>
    </w:p>
    <w:p w:rsidR="0061277A" w:rsidRPr="0061277A" w:rsidRDefault="0061277A" w:rsidP="0061277A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61277A">
        <w:rPr>
          <w:rFonts w:ascii="Times New Roman" w:hAnsi="Times New Roman" w:cs="Times New Roman"/>
        </w:rPr>
        <w:t>Tablice:</w:t>
      </w:r>
    </w:p>
    <w:p w:rsidR="0061277A" w:rsidRDefault="0061277A" w:rsidP="0061277A">
      <w:pPr>
        <w:pStyle w:val="Akapitzlist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1277A">
        <w:rPr>
          <w:rFonts w:ascii="Times New Roman" w:hAnsi="Times New Roman" w:cs="Times New Roman"/>
        </w:rPr>
        <w:t>ymiana tablicy głównej</w:t>
      </w:r>
      <w:r>
        <w:rPr>
          <w:rFonts w:ascii="Times New Roman" w:hAnsi="Times New Roman" w:cs="Times New Roman"/>
        </w:rPr>
        <w:t xml:space="preserve">, </w:t>
      </w:r>
    </w:p>
    <w:p w:rsidR="0061277A" w:rsidRPr="0061277A" w:rsidRDefault="0061277A" w:rsidP="0061277A">
      <w:pPr>
        <w:pStyle w:val="Akapitzlist"/>
        <w:numPr>
          <w:ilvl w:val="0"/>
          <w:numId w:val="6"/>
        </w:numPr>
        <w:ind w:left="851" w:hanging="284"/>
        <w:rPr>
          <w:rFonts w:ascii="Times New Roman" w:hAnsi="Times New Roman" w:cs="Times New Roman"/>
        </w:rPr>
      </w:pPr>
      <w:r w:rsidRPr="0061277A">
        <w:rPr>
          <w:rFonts w:ascii="Times New Roman" w:hAnsi="Times New Roman" w:cs="Times New Roman"/>
        </w:rPr>
        <w:t>odnowienie tablicy dolnej.</w:t>
      </w:r>
    </w:p>
    <w:p w:rsidR="0061277A" w:rsidRDefault="0061277A" w:rsidP="0061277A">
      <w:pPr>
        <w:pStyle w:val="Akapitzlist"/>
        <w:numPr>
          <w:ilvl w:val="0"/>
          <w:numId w:val="1"/>
        </w:numPr>
        <w:ind w:left="567" w:hanging="567"/>
        <w:rPr>
          <w:rFonts w:ascii="Times New Roman" w:hAnsi="Times New Roman" w:cs="Times New Roman"/>
        </w:rPr>
      </w:pPr>
      <w:r w:rsidRPr="0061277A">
        <w:rPr>
          <w:rFonts w:ascii="Times New Roman" w:hAnsi="Times New Roman" w:cs="Times New Roman"/>
        </w:rPr>
        <w:t>Otoczenie pomnika (ok. 40 m²):</w:t>
      </w:r>
    </w:p>
    <w:p w:rsidR="00D01EAB" w:rsidRDefault="0061277A" w:rsidP="00D01EAB">
      <w:pPr>
        <w:pStyle w:val="Akapitzlist"/>
        <w:numPr>
          <w:ilvl w:val="0"/>
          <w:numId w:val="7"/>
        </w:numPr>
        <w:ind w:left="851" w:hanging="284"/>
        <w:rPr>
          <w:rFonts w:ascii="Times New Roman" w:hAnsi="Times New Roman" w:cs="Times New Roman"/>
        </w:rPr>
      </w:pPr>
      <w:r w:rsidRPr="0061277A">
        <w:rPr>
          <w:rFonts w:ascii="Times New Roman" w:hAnsi="Times New Roman" w:cs="Times New Roman"/>
        </w:rPr>
        <w:t>demontaż istniejącej kostki brukowej (</w:t>
      </w:r>
      <w:r w:rsidR="00D01EAB">
        <w:rPr>
          <w:rFonts w:ascii="Times New Roman" w:hAnsi="Times New Roman" w:cs="Times New Roman"/>
        </w:rPr>
        <w:t>nienaruszona i nieuszkodzona kostka zostanie przekazana Zleceniodawcy</w:t>
      </w:r>
      <w:r w:rsidR="00384119">
        <w:rPr>
          <w:rFonts w:ascii="Times New Roman" w:hAnsi="Times New Roman" w:cs="Times New Roman"/>
        </w:rPr>
        <w:t>, natomiast uszkodzona kostka zostanie zutylizowana przez Zleceniobiorcę</w:t>
      </w:r>
      <w:r w:rsidRPr="0061277A">
        <w:rPr>
          <w:rFonts w:ascii="Times New Roman" w:hAnsi="Times New Roman" w:cs="Times New Roman"/>
        </w:rPr>
        <w:t>)</w:t>
      </w:r>
      <w:r w:rsidR="00D01EAB">
        <w:rPr>
          <w:rFonts w:ascii="Times New Roman" w:hAnsi="Times New Roman" w:cs="Times New Roman"/>
        </w:rPr>
        <w:t>,</w:t>
      </w:r>
    </w:p>
    <w:p w:rsidR="004E13C1" w:rsidRDefault="00D01EAB" w:rsidP="00D01EAB">
      <w:pPr>
        <w:pStyle w:val="Akapitzlist"/>
        <w:numPr>
          <w:ilvl w:val="0"/>
          <w:numId w:val="7"/>
        </w:numPr>
        <w:ind w:left="851" w:hanging="284"/>
        <w:rPr>
          <w:rFonts w:ascii="Times New Roman" w:hAnsi="Times New Roman" w:cs="Times New Roman"/>
        </w:rPr>
      </w:pPr>
      <w:r w:rsidRPr="00D01EAB">
        <w:rPr>
          <w:rFonts w:ascii="Times New Roman" w:hAnsi="Times New Roman" w:cs="Times New Roman"/>
        </w:rPr>
        <w:t>u</w:t>
      </w:r>
      <w:r w:rsidR="0061277A" w:rsidRPr="00D01EAB">
        <w:rPr>
          <w:rFonts w:ascii="Times New Roman" w:hAnsi="Times New Roman" w:cs="Times New Roman"/>
        </w:rPr>
        <w:t>łożenie nowej kostki brukowej</w:t>
      </w:r>
      <w:r w:rsidR="0087097A">
        <w:rPr>
          <w:rFonts w:ascii="Times New Roman" w:hAnsi="Times New Roman" w:cs="Times New Roman"/>
        </w:rPr>
        <w:t xml:space="preserve"> (zestaw kostek – min trzy rozmiary, o grubości 6 cm w kolorze granitowym (jasny szary) wraz z zastosowaniem obrzeży palisadowych w kolorze stalowym 10x20x100 cm</w:t>
      </w:r>
      <w:r w:rsidR="0061277A" w:rsidRPr="00D01EAB">
        <w:rPr>
          <w:rFonts w:ascii="Times New Roman" w:hAnsi="Times New Roman" w:cs="Times New Roman"/>
        </w:rPr>
        <w:t xml:space="preserve"> zgodnie z wytycznymi</w:t>
      </w:r>
      <w:r w:rsidR="004E13C1">
        <w:rPr>
          <w:rFonts w:ascii="Times New Roman" w:hAnsi="Times New Roman" w:cs="Times New Roman"/>
        </w:rPr>
        <w:t xml:space="preserve">, </w:t>
      </w:r>
    </w:p>
    <w:p w:rsidR="0061277A" w:rsidRPr="00D01EAB" w:rsidRDefault="004E13C1" w:rsidP="00D01EAB">
      <w:pPr>
        <w:pStyle w:val="Akapitzlist"/>
        <w:numPr>
          <w:ilvl w:val="0"/>
          <w:numId w:val="7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2 ławek parkowych (karta techniczna produktu stanowi załącznik). </w:t>
      </w:r>
      <w:r w:rsidR="0061277A" w:rsidRPr="00D01EAB">
        <w:rPr>
          <w:rFonts w:ascii="Times New Roman" w:hAnsi="Times New Roman" w:cs="Times New Roman"/>
        </w:rPr>
        <w:br/>
      </w:r>
    </w:p>
    <w:p w:rsidR="003D5FB8" w:rsidRPr="0061277A" w:rsidRDefault="003D5FB8"/>
    <w:sectPr w:rsidR="003D5FB8" w:rsidRPr="006127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7F3B" w:rsidRDefault="003D7F3B" w:rsidP="009C3372">
      <w:pPr>
        <w:spacing w:after="0" w:line="240" w:lineRule="auto"/>
      </w:pPr>
      <w:r>
        <w:separator/>
      </w:r>
    </w:p>
  </w:endnote>
  <w:endnote w:type="continuationSeparator" w:id="0">
    <w:p w:rsidR="003D7F3B" w:rsidRDefault="003D7F3B" w:rsidP="009C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7F3B" w:rsidRDefault="003D7F3B" w:rsidP="009C3372">
      <w:pPr>
        <w:spacing w:after="0" w:line="240" w:lineRule="auto"/>
      </w:pPr>
      <w:r>
        <w:separator/>
      </w:r>
    </w:p>
  </w:footnote>
  <w:footnote w:type="continuationSeparator" w:id="0">
    <w:p w:rsidR="003D7F3B" w:rsidRDefault="003D7F3B" w:rsidP="009C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3372" w:rsidRPr="009C3372" w:rsidRDefault="009C3372" w:rsidP="009C3372">
    <w:pPr>
      <w:pStyle w:val="Nagwek"/>
      <w:jc w:val="right"/>
      <w:rPr>
        <w:rFonts w:ascii="Times New Roman" w:hAnsi="Times New Roman" w:cs="Times New Roman"/>
      </w:rPr>
    </w:pPr>
    <w:r w:rsidRPr="009C3372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3AE5"/>
    <w:multiLevelType w:val="hybridMultilevel"/>
    <w:tmpl w:val="8424017C"/>
    <w:lvl w:ilvl="0" w:tplc="D940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42F0"/>
    <w:multiLevelType w:val="hybridMultilevel"/>
    <w:tmpl w:val="835A9ED4"/>
    <w:lvl w:ilvl="0" w:tplc="D940F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6E12E5"/>
    <w:multiLevelType w:val="hybridMultilevel"/>
    <w:tmpl w:val="A722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F68"/>
    <w:multiLevelType w:val="hybridMultilevel"/>
    <w:tmpl w:val="9A20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4B1"/>
    <w:multiLevelType w:val="hybridMultilevel"/>
    <w:tmpl w:val="15EAF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93A6F"/>
    <w:multiLevelType w:val="hybridMultilevel"/>
    <w:tmpl w:val="CF6C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A3B"/>
    <w:multiLevelType w:val="hybridMultilevel"/>
    <w:tmpl w:val="0AA0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43318">
    <w:abstractNumId w:val="2"/>
  </w:num>
  <w:num w:numId="2" w16cid:durableId="1744716475">
    <w:abstractNumId w:val="3"/>
  </w:num>
  <w:num w:numId="3" w16cid:durableId="1869218213">
    <w:abstractNumId w:val="6"/>
  </w:num>
  <w:num w:numId="4" w16cid:durableId="1521890979">
    <w:abstractNumId w:val="5"/>
  </w:num>
  <w:num w:numId="5" w16cid:durableId="39135532">
    <w:abstractNumId w:val="4"/>
  </w:num>
  <w:num w:numId="6" w16cid:durableId="570850694">
    <w:abstractNumId w:val="0"/>
  </w:num>
  <w:num w:numId="7" w16cid:durableId="180711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B8"/>
    <w:rsid w:val="002C4FB9"/>
    <w:rsid w:val="00384119"/>
    <w:rsid w:val="003D5FB8"/>
    <w:rsid w:val="003D7F3B"/>
    <w:rsid w:val="004C0EDF"/>
    <w:rsid w:val="004E13C1"/>
    <w:rsid w:val="005436FE"/>
    <w:rsid w:val="005D20BE"/>
    <w:rsid w:val="0061277A"/>
    <w:rsid w:val="007A295E"/>
    <w:rsid w:val="00800B71"/>
    <w:rsid w:val="00823D23"/>
    <w:rsid w:val="0087097A"/>
    <w:rsid w:val="00984C9E"/>
    <w:rsid w:val="009C3372"/>
    <w:rsid w:val="00BC2278"/>
    <w:rsid w:val="00BD7D43"/>
    <w:rsid w:val="00CD0607"/>
    <w:rsid w:val="00D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411A"/>
  <w15:chartTrackingRefBased/>
  <w15:docId w15:val="{408CE7AD-76A3-485A-8064-473C3729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F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F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F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F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F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F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F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F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F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F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F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F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F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FB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372"/>
  </w:style>
  <w:style w:type="paragraph" w:styleId="Stopka">
    <w:name w:val="footer"/>
    <w:basedOn w:val="Normalny"/>
    <w:link w:val="StopkaZnak"/>
    <w:uiPriority w:val="99"/>
    <w:unhideWhenUsed/>
    <w:rsid w:val="009C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Ulanowska</dc:creator>
  <cp:keywords/>
  <dc:description/>
  <cp:lastModifiedBy>Anna Ulanowska</cp:lastModifiedBy>
  <cp:revision>7</cp:revision>
  <cp:lastPrinted>2025-10-02T13:04:00Z</cp:lastPrinted>
  <dcterms:created xsi:type="dcterms:W3CDTF">2025-10-02T07:54:00Z</dcterms:created>
  <dcterms:modified xsi:type="dcterms:W3CDTF">2025-10-15T11:17:00Z</dcterms:modified>
</cp:coreProperties>
</file>